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MEDIA SPONSOR REGISTRATION </w:t>
      </w:r>
    </w:p>
    <w:p w:rsidR="00000000" w:rsidDel="00000000" w:rsidP="00000000" w:rsidRDefault="00000000" w:rsidRPr="00000000" w14:paraId="00000003">
      <w:pPr>
        <w:widowControl w:val="0"/>
        <w:tabs>
          <w:tab w:val="left" w:leader="none" w:pos="5200"/>
        </w:tabs>
        <w:rPr>
          <w:rFonts w:ascii="Arial" w:cs="Arial" w:eastAsia="Arial" w:hAnsi="Arial"/>
          <w:sz w:val="22"/>
          <w:szCs w:val="22"/>
        </w:rPr>
      </w:pPr>
      <w:r w:rsidDel="00000000" w:rsidR="00000000" w:rsidRPr="00000000">
        <w:rPr>
          <w:rFonts w:ascii="Arial" w:cs="Arial" w:eastAsia="Arial" w:hAnsi="Arial"/>
          <w:b w:val="1"/>
          <w:i w:val="1"/>
          <w:sz w:val="22"/>
          <w:szCs w:val="22"/>
          <w:rtl w:val="0"/>
        </w:rPr>
        <w:tab/>
      </w:r>
      <w:r w:rsidDel="00000000" w:rsidR="00000000" w:rsidRPr="00000000">
        <w:rPr>
          <w:rtl w:val="0"/>
        </w:rPr>
      </w:r>
    </w:p>
    <w:tbl>
      <w:tblPr>
        <w:tblStyle w:val="Table1"/>
        <w:tblW w:w="10200.0" w:type="dxa"/>
        <w:jc w:val="left"/>
        <w:tblInd w:w="-1.000000000000014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445"/>
        <w:gridCol w:w="930"/>
        <w:gridCol w:w="4620"/>
        <w:tblGridChange w:id="0">
          <w:tblGrid>
            <w:gridCol w:w="2205"/>
            <w:gridCol w:w="2445"/>
            <w:gridCol w:w="930"/>
            <w:gridCol w:w="462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Group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Person(s)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Group Description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8">
      <w:pPr>
        <w:widowControl w:val="0"/>
        <w:ind w:left="284" w:right="3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n</w:t>
      </w:r>
      <w:r w:rsidDel="00000000" w:rsidR="00000000" w:rsidRPr="00000000">
        <w:rPr>
          <w:rFonts w:ascii="Arial" w:cs="Arial" w:eastAsia="Arial" w:hAnsi="Arial"/>
          <w:b w:val="1"/>
          <w:sz w:val="22"/>
          <w:szCs w:val="22"/>
          <w:rtl w:val="0"/>
        </w:rPr>
        <w:t xml:space="preserve">ote: Trade Show Floor Plan to be released in April 2023</w:t>
      </w:r>
    </w:p>
    <w:p w:rsidR="00000000" w:rsidDel="00000000" w:rsidP="00000000" w:rsidRDefault="00000000" w:rsidRPr="00000000" w14:paraId="0000001A">
      <w:pPr>
        <w:ind w:left="0" w:firstLine="0"/>
        <w:rPr>
          <w:rFonts w:ascii="Arial" w:cs="Arial" w:eastAsia="Arial" w:hAnsi="Arial"/>
          <w:b w:val="1"/>
          <w:sz w:val="20"/>
          <w:szCs w:val="20"/>
        </w:rPr>
      </w:pPr>
      <w:r w:rsidDel="00000000" w:rsidR="00000000" w:rsidRPr="00000000">
        <w:rPr>
          <w:rtl w:val="0"/>
        </w:rPr>
      </w:r>
    </w:p>
    <w:tbl>
      <w:tblPr>
        <w:tblStyle w:val="Table2"/>
        <w:tblW w:w="10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4815"/>
        <w:gridCol w:w="2850"/>
        <w:tblGridChange w:id="0">
          <w:tblGrid>
            <w:gridCol w:w="2535"/>
            <w:gridCol w:w="4815"/>
            <w:gridCol w:w="2850"/>
          </w:tblGrid>
        </w:tblGridChange>
      </w:tblGrid>
      <w:tr>
        <w:trPr>
          <w:cantSplit w:val="0"/>
          <w:trHeight w:val="398.0769230769231" w:hRule="atLeast"/>
          <w:tblHeader w:val="0"/>
        </w:trPr>
        <w:tc>
          <w:tcPr>
            <w:shd w:fill="auto" w:val="clear"/>
            <w:tcMar>
              <w:left w:w="0.0" w:type="dxa"/>
              <w:right w:w="0.0" w:type="dxa"/>
            </w:tcMar>
            <w:vAlign w:val="center"/>
          </w:tcPr>
          <w:p w:rsidR="00000000" w:rsidDel="00000000" w:rsidP="00000000" w:rsidRDefault="00000000" w:rsidRPr="00000000" w14:paraId="0000001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Booth Type</w:t>
            </w:r>
          </w:p>
        </w:tc>
        <w:tc>
          <w:tcPr>
            <w:shd w:fill="auto" w:val="clear"/>
            <w:tcMar>
              <w:left w:w="0.0" w:type="dxa"/>
              <w:right w:w="0.0" w:type="dxa"/>
            </w:tcMar>
            <w:vAlign w:val="center"/>
          </w:tcPr>
          <w:p w:rsidR="00000000" w:rsidDel="00000000" w:rsidP="00000000" w:rsidRDefault="00000000" w:rsidRPr="00000000" w14:paraId="0000001C">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Space Description</w:t>
            </w:r>
          </w:p>
        </w:tc>
        <w:tc>
          <w:tcPr>
            <w:shd w:fill="auto" w:val="clear"/>
            <w:tcMar>
              <w:left w:w="0.0" w:type="dxa"/>
              <w:right w:w="0.0" w:type="dxa"/>
            </w:tcMar>
            <w:vAlign w:val="center"/>
          </w:tcPr>
          <w:p w:rsidR="00000000" w:rsidDel="00000000" w:rsidP="00000000" w:rsidRDefault="00000000" w:rsidRPr="00000000" w14:paraId="0000001D">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w:t>
            </w:r>
          </w:p>
        </w:tc>
      </w:tr>
      <w:tr>
        <w:trPr>
          <w:cantSplit w:val="0"/>
          <w:trHeight w:val="600" w:hRule="atLeast"/>
          <w:tblHeader w:val="0"/>
        </w:trPr>
        <w:tc>
          <w:tcPr>
            <w:shd w:fill="auto" w:val="clear"/>
          </w:tcPr>
          <w:p w:rsidR="00000000" w:rsidDel="00000000" w:rsidP="00000000" w:rsidRDefault="00000000" w:rsidRPr="00000000" w14:paraId="0000001E">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Media Sponsor</w:t>
            </w:r>
          </w:p>
        </w:tc>
        <w:tc>
          <w:tcPr>
            <w:shd w:fill="auto" w:val="clear"/>
          </w:tcPr>
          <w:p w:rsidR="00000000" w:rsidDel="00000000" w:rsidP="00000000" w:rsidRDefault="00000000" w:rsidRPr="00000000" w14:paraId="0000001F">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Off the trade show floor in the lobby. </w:t>
            </w:r>
          </w:p>
          <w:p w:rsidR="00000000" w:rsidDel="00000000" w:rsidP="00000000" w:rsidRDefault="00000000" w:rsidRPr="00000000" w14:paraId="0000002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One table + 2 chairs provided.</w:t>
            </w:r>
          </w:p>
        </w:tc>
        <w:tc>
          <w:tcPr>
            <w:shd w:fill="auto" w:val="clear"/>
          </w:tcPr>
          <w:p w:rsidR="00000000" w:rsidDel="00000000" w:rsidP="00000000" w:rsidRDefault="00000000" w:rsidRPr="00000000" w14:paraId="0000002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Sponsorship agreement with CLS Committee</w:t>
            </w:r>
          </w:p>
        </w:tc>
      </w:tr>
    </w:tbl>
    <w:p w:rsidR="00000000" w:rsidDel="00000000" w:rsidP="00000000" w:rsidRDefault="00000000" w:rsidRPr="00000000" w14:paraId="00000022">
      <w:pPr>
        <w:jc w:val="center"/>
        <w:rPr>
          <w:rFonts w:ascii="Arial" w:cs="Arial" w:eastAsia="Arial" w:hAnsi="Arial"/>
          <w:sz w:val="22"/>
          <w:szCs w:val="22"/>
        </w:rPr>
      </w:pPr>
      <w:r w:rsidDel="00000000" w:rsidR="00000000" w:rsidRPr="00000000">
        <w:rPr>
          <w:rFonts w:ascii="Arial" w:cs="Arial" w:eastAsia="Arial" w:hAnsi="Arial"/>
          <w:b w:val="1"/>
          <w:sz w:val="19"/>
          <w:szCs w:val="19"/>
          <w:rtl w:val="0"/>
        </w:rPr>
        <w:t xml:space="preserve">     </w:t>
      </w: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Set-up is reserved for Thursday, April 20 from 8:00 a.m. to 7:00 p.m., Friday, April 21 from 8:00 a.m. to 3:00 p.m. </w:t>
      </w:r>
      <w:r w:rsidDel="00000000" w:rsidR="00000000" w:rsidRPr="00000000">
        <w:rPr>
          <w:rFonts w:ascii="Arial" w:cs="Arial" w:eastAsia="Arial" w:hAnsi="Arial"/>
          <w:b w:val="1"/>
          <w:sz w:val="22"/>
          <w:szCs w:val="22"/>
          <w:rtl w:val="0"/>
        </w:rPr>
        <w:t xml:space="preserve">Please refer to Vendor Terms &amp; Conditions for set-up restrictions and show hours.</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INSURANCE (only required if you are hosting a table): </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i w:val="1"/>
          <w:color w:val="ff0000"/>
          <w:sz w:val="22"/>
          <w:szCs w:val="22"/>
          <w:rtl w:val="0"/>
        </w:rPr>
        <w:t xml:space="preserve">New</w:t>
      </w:r>
      <w:r w:rsidDel="00000000" w:rsidR="00000000" w:rsidRPr="00000000">
        <w:rPr>
          <w:rFonts w:ascii="Arial" w:cs="Arial" w:eastAsia="Arial" w:hAnsi="Arial"/>
          <w:sz w:val="22"/>
          <w:szCs w:val="22"/>
          <w:rtl w:val="0"/>
        </w:rPr>
        <w:t xml:space="preserve"> this year we require that </w:t>
      </w: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vendors and community groups provide a certificate of insurance for $2M liability with the Fenelon Falls &amp; District Chamber of Commerce named as a 3rd party. We’ve partnered with Duuo Insurance to offer Kawartha Lakes Country Living Show vendors affordable short-term insurance coverage that meets our requirements. Get set-up in minutes and enjoy preferred partner pricing by clicking </w:t>
      </w:r>
      <w:hyperlink r:id="rId6">
        <w:r w:rsidDel="00000000" w:rsidR="00000000" w:rsidRPr="00000000">
          <w:rPr>
            <w:rFonts w:ascii="Arial" w:cs="Arial" w:eastAsia="Arial" w:hAnsi="Arial"/>
            <w:b w:val="1"/>
            <w:color w:val="f75a58"/>
            <w:sz w:val="22"/>
            <w:szCs w:val="22"/>
            <w:u w:val="single"/>
            <w:rtl w:val="0"/>
          </w:rPr>
          <w:t xml:space="preserve">HERE</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HOLD HARMLESS AGREEMENT:</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We, the lessee, shall indemnify and hold harmless the Fenelon Falls &amp; District Chamber of Commerce, their members, agents, employees from and against all claims, demands, losses, costs, damages, actions, suits or proceedings by any third parties that may arise out of, or may attribute to all operations performed by or carried out by the lessee, his agents, employees, servants or anyone for whose acts he may be held liable, howsoever cause.</w:t>
      </w:r>
    </w:p>
    <w:p w:rsidR="00000000" w:rsidDel="00000000" w:rsidP="00000000" w:rsidRDefault="00000000" w:rsidRPr="00000000" w14:paraId="0000002A">
      <w:pPr>
        <w:tabs>
          <w:tab w:val="left" w:leader="none" w:pos="97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tabs>
          <w:tab w:val="left" w:leader="none" w:pos="97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leader="none" w:pos="9760"/>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6750"/>
        <w:tblGridChange w:id="0">
          <w:tblGrid>
            <w:gridCol w:w="333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Sponsor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(Please 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Dated this ____ day of __________________,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email your completed Media Sponsor Registration to </w:t>
      </w:r>
      <w:hyperlink r:id="rId7">
        <w:r w:rsidDel="00000000" w:rsidR="00000000" w:rsidRPr="00000000">
          <w:rPr>
            <w:rFonts w:ascii="Arial" w:cs="Arial" w:eastAsia="Arial" w:hAnsi="Arial"/>
            <w:color w:val="1155cc"/>
            <w:sz w:val="22"/>
            <w:szCs w:val="22"/>
            <w:u w:val="single"/>
            <w:rtl w:val="0"/>
          </w:rPr>
          <w:t xml:space="preserve">events@explorefenelonfalls.com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Please contact the Chamber office with any questions 705-887-3409</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360" w:top="360" w:left="1080" w:right="108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right" w:leader="none" w:pos="9630"/>
      </w:tabs>
      <w:ind w:left="-720" w:right="-72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right" w:leader="none" w:pos="9630"/>
      </w:tabs>
      <w:ind w:left="-1170" w:right="-1080" w:firstLine="0"/>
      <w:jc w:val="center"/>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15 Oak Street, P.O. Box 28, Fenelon Falls, ON KOM 1N0 | (705) 887-3409 | </w:t>
    </w:r>
    <w:hyperlink r:id="rId1">
      <w:r w:rsidDel="00000000" w:rsidR="00000000" w:rsidRPr="00000000">
        <w:rPr>
          <w:rFonts w:ascii="Arial" w:cs="Arial" w:eastAsia="Arial" w:hAnsi="Arial"/>
          <w:color w:val="666666"/>
          <w:sz w:val="18"/>
          <w:szCs w:val="18"/>
          <w:u w:val="single"/>
          <w:rtl w:val="0"/>
        </w:rPr>
        <w:t xml:space="preserve">events@explorefenelonfalls.com</w:t>
      </w:r>
    </w:hyperlink>
    <w:r w:rsidDel="00000000" w:rsidR="00000000" w:rsidRPr="00000000">
      <w:rPr>
        <w:rtl w:val="0"/>
      </w:rPr>
    </w:r>
  </w:p>
  <w:p w:rsidR="00000000" w:rsidDel="00000000" w:rsidP="00000000" w:rsidRDefault="00000000" w:rsidRPr="00000000" w14:paraId="00000043">
    <w:pPr>
      <w:tabs>
        <w:tab w:val="right" w:leader="none" w:pos="9630"/>
      </w:tabs>
      <w:ind w:left="-1170" w:right="-10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tabs>
        <w:tab w:val="right" w:leader="none" w:pos="9630"/>
      </w:tabs>
      <w:ind w:left="-1170" w:right="-1080" w:firstLine="0"/>
      <w:jc w:val="center"/>
      <w:rPr>
        <w:rFonts w:ascii="Arial" w:cs="Arial" w:eastAsia="Arial" w:hAnsi="Arial"/>
        <w:color w:val="666666"/>
        <w:sz w:val="18"/>
        <w:szCs w:val="18"/>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right" w:leader="none" w:pos="9630"/>
      </w:tabs>
      <w:ind w:left="-720"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tabs>
        <w:tab w:val="right" w:leader="none" w:pos="9630"/>
      </w:tabs>
      <w:ind w:left="-1170" w:right="-1080" w:firstLine="0"/>
      <w:jc w:val="center"/>
      <w:rPr>
        <w:rFonts w:ascii="Arial" w:cs="Arial" w:eastAsia="Arial" w:hAnsi="Arial"/>
        <w:color w:val="666666"/>
        <w:sz w:val="18"/>
        <w:szCs w:val="18"/>
      </w:rPr>
    </w:pPr>
    <w:r w:rsidDel="00000000" w:rsidR="00000000" w:rsidRPr="00000000">
      <w:rPr>
        <w:rFonts w:ascii="Arial" w:cs="Arial" w:eastAsia="Arial" w:hAnsi="Arial"/>
        <w:color w:val="666666"/>
        <w:sz w:val="18"/>
        <w:szCs w:val="18"/>
        <w:rtl w:val="0"/>
      </w:rPr>
      <w:t xml:space="preserve">15 Oak Street, P.O. Box 28, Fenelon Falls, ON KOM 1N0 | (705) 887-3409 | </w:t>
    </w:r>
    <w:hyperlink r:id="rId1">
      <w:r w:rsidDel="00000000" w:rsidR="00000000" w:rsidRPr="00000000">
        <w:rPr>
          <w:rFonts w:ascii="Arial" w:cs="Arial" w:eastAsia="Arial" w:hAnsi="Arial"/>
          <w:color w:val="666666"/>
          <w:sz w:val="18"/>
          <w:szCs w:val="18"/>
          <w:u w:val="single"/>
          <w:rtl w:val="0"/>
        </w:rPr>
        <w:t xml:space="preserve">events@explorefenelonfalls.com</w:t>
      </w:r>
    </w:hyperlink>
    <w:r w:rsidDel="00000000" w:rsidR="00000000" w:rsidRPr="00000000">
      <w:rPr>
        <w:rtl w:val="0"/>
      </w:rPr>
    </w:r>
  </w:p>
  <w:p w:rsidR="00000000" w:rsidDel="00000000" w:rsidP="00000000" w:rsidRDefault="00000000" w:rsidRPr="00000000" w14:paraId="00000047">
    <w:pPr>
      <w:tabs>
        <w:tab w:val="right" w:leader="none" w:pos="9630"/>
      </w:tabs>
      <w:ind w:left="-1170" w:right="-10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tabs>
        <w:tab w:val="right" w:leader="none" w:pos="9630"/>
      </w:tabs>
      <w:ind w:left="-1170" w:right="-1080" w:firstLine="0"/>
      <w:jc w:val="center"/>
      <w:rPr>
        <w:rFonts w:ascii="Arial" w:cs="Arial" w:eastAsia="Arial" w:hAnsi="Arial"/>
        <w:color w:val="666666"/>
        <w:sz w:val="18"/>
        <w:szCs w:val="18"/>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680"/>
        <w:tab w:val="right" w:leader="none" w:pos="9360"/>
      </w:tabs>
      <w:jc w:val="center"/>
      <w:rPr/>
    </w:pPr>
    <w:r w:rsidDel="00000000" w:rsidR="00000000" w:rsidRPr="00000000">
      <w:rPr/>
      <w:drawing>
        <wp:inline distB="114300" distT="114300" distL="114300" distR="114300">
          <wp:extent cx="2078385" cy="1500188"/>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78385" cy="1500188"/>
                  </a:xfrm>
                  <a:prstGeom prst="rect"/>
                  <a:ln/>
                </pic:spPr>
              </pic:pic>
            </a:graphicData>
          </a:graphic>
        </wp:inline>
      </w:drawing>
    </w:r>
    <w:r w:rsidDel="00000000" w:rsidR="00000000" w:rsidRPr="00000000">
      <w:rPr/>
      <w:drawing>
        <wp:inline distB="114300" distT="114300" distL="114300" distR="114300">
          <wp:extent cx="2510118" cy="1371600"/>
          <wp:effectExtent b="0" l="0" r="0" t="0"/>
          <wp:docPr id="4" name="image1.png"/>
          <a:graphic>
            <a:graphicData uri="http://schemas.openxmlformats.org/drawingml/2006/picture">
              <pic:pic>
                <pic:nvPicPr>
                  <pic:cNvPr id="0" name="image1.png"/>
                  <pic:cNvPicPr preferRelativeResize="0"/>
                </pic:nvPicPr>
                <pic:blipFill>
                  <a:blip r:embed="rId2"/>
                  <a:srcRect b="5095" l="20272" r="20177" t="3821"/>
                  <a:stretch>
                    <a:fillRect/>
                  </a:stretch>
                </pic:blipFill>
                <pic:spPr>
                  <a:xfrm>
                    <a:off x="0" y="0"/>
                    <a:ext cx="2510118"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182005" cy="15763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82005" cy="1576388"/>
                  </a:xfrm>
                  <a:prstGeom prst="rect"/>
                  <a:ln/>
                </pic:spPr>
              </pic:pic>
            </a:graphicData>
          </a:graphic>
        </wp:inline>
      </w:drawing>
    </w:r>
    <w:r w:rsidDel="00000000" w:rsidR="00000000" w:rsidRPr="00000000">
      <w:rPr/>
      <w:drawing>
        <wp:inline distB="114300" distT="114300" distL="114300" distR="114300">
          <wp:extent cx="2510118" cy="1371600"/>
          <wp:effectExtent b="0" l="0" r="0" t="0"/>
          <wp:docPr id="1" name="image1.png"/>
          <a:graphic>
            <a:graphicData uri="http://schemas.openxmlformats.org/drawingml/2006/picture">
              <pic:pic>
                <pic:nvPicPr>
                  <pic:cNvPr id="0" name="image1.png"/>
                  <pic:cNvPicPr preferRelativeResize="0"/>
                </pic:nvPicPr>
                <pic:blipFill>
                  <a:blip r:embed="rId2"/>
                  <a:srcRect b="5095" l="20272" r="20177" t="3821"/>
                  <a:stretch>
                    <a:fillRect/>
                  </a:stretch>
                </pic:blipFill>
                <pic:spPr>
                  <a:xfrm>
                    <a:off x="0" y="0"/>
                    <a:ext cx="2510118"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mjnq04.na1.hubspotlinks.com/Ctc/W1+113/cMJnq04/VWDd7v1Wq886W8yc1sw2pPbhcW3X6sTS4Tmw3yN5ZDtSZ5nKvpV3Zsc37CgPMFW4_tFYx57mVr2W8jSL1_3dKdHMW2w6g-d8Kt-FsW6sNfp57tXM9_VByg_k4NJd7BVd40Nw2DH0jKN5f0jct_jtKBW2D6xct29n4GkW4CG-6z4zqpvCW4JyZHw993wyPW6vClcK1pkN7TW4n_YNT1p0WLxVj6Kqc6NNyY0W7vrSJK4LsPYrW2SJT0K8ptYGVW13kBmL95lwvnW5rTlW01F5CG_W8wMg9T3zWy0sW4T0GXK25P4pbW3qmqlQ7x8ZgfW8JndR62ynL8TN5N39p_64kzcW7R3kVk4MBQClW4tSGly6QqtVbW3427qY18SM1VW56pybY5gzr0LW8jGxFy7V2MJRV7Qbvy96ZgB2W5fmNBZ69GvdMW3yFFH71npD-FW9bXqvC6kZtm2W2b4vF02KBBHYW4VcQs43XSNz4W6wmvVl1fRLKQ3hxd1" TargetMode="External"/><Relationship Id="rId7" Type="http://schemas.openxmlformats.org/officeDocument/2006/relationships/hyperlink" Target="mailto:events@explorefenelonfalls.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vents@explorefenelonfall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vents@explorefenelonfal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